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C4E" w:rsidRDefault="007D5C4E" w:rsidP="007D5C4E">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7D5C4E" w:rsidTr="007D5C4E">
        <w:trPr>
          <w:trHeight w:val="704"/>
          <w:jc w:val="center"/>
        </w:trPr>
        <w:sdt>
          <w:sdtPr>
            <w:rPr>
              <w:rFonts w:ascii="Tahoma" w:hAnsi="Tahoma"/>
              <w:color w:val="000080"/>
              <w:sz w:val="32"/>
              <w:szCs w:val="32"/>
              <w:rtl/>
            </w:rPr>
            <w:alias w:val="1174"/>
            <w:tag w:val="1174"/>
            <w:id w:val="-1585920285"/>
            <w:text w:multiLine="1"/>
          </w:sdtPr>
          <w:sdtEndPr/>
          <w:sdtContent>
            <w:tc>
              <w:tcPr>
                <w:tcW w:w="8306" w:type="dxa"/>
                <w:gridSpan w:val="2"/>
                <w:hideMark/>
              </w:tcPr>
              <w:p w:rsidR="007D5C4E" w:rsidRDefault="007D5C4E">
                <w:pPr>
                  <w:pStyle w:val="a3"/>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7D5C4E" w:rsidTr="007D5C4E">
        <w:trPr>
          <w:trHeight w:val="337"/>
          <w:jc w:val="center"/>
        </w:trPr>
        <w:tc>
          <w:tcPr>
            <w:tcW w:w="4809" w:type="dxa"/>
          </w:tcPr>
          <w:p w:rsidR="007D5C4E" w:rsidRDefault="007D5C4E">
            <w:pPr>
              <w:rPr>
                <w:b/>
                <w:bCs/>
                <w:noProof w:val="0"/>
                <w:sz w:val="26"/>
                <w:szCs w:val="26"/>
                <w:rtl/>
              </w:rPr>
            </w:pPr>
          </w:p>
        </w:tc>
        <w:tc>
          <w:tcPr>
            <w:tcW w:w="3497" w:type="dxa"/>
          </w:tcPr>
          <w:p w:rsidR="007D5C4E" w:rsidRDefault="007D5C4E">
            <w:pPr>
              <w:pStyle w:val="a3"/>
              <w:jc w:val="right"/>
              <w:rPr>
                <w:b/>
                <w:bCs/>
                <w:noProof w:val="0"/>
                <w:sz w:val="26"/>
                <w:szCs w:val="26"/>
                <w:rtl/>
              </w:rPr>
            </w:pPr>
          </w:p>
        </w:tc>
      </w:tr>
      <w:tr w:rsidR="007D5C4E" w:rsidTr="007D5C4E">
        <w:trPr>
          <w:trHeight w:val="337"/>
          <w:jc w:val="center"/>
        </w:trPr>
        <w:tc>
          <w:tcPr>
            <w:tcW w:w="8306" w:type="dxa"/>
            <w:gridSpan w:val="2"/>
          </w:tcPr>
          <w:p w:rsidR="007D5C4E" w:rsidRDefault="007D5C4E" w:rsidP="00243235">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42498-04-24 מ</w:t>
            </w:r>
            <w:r w:rsidR="00243235">
              <w:rPr>
                <w:rFonts w:hint="cs"/>
                <w:b/>
                <w:bCs/>
                <w:noProof w:val="0"/>
                <w:sz w:val="26"/>
                <w:szCs w:val="26"/>
                <w:rtl/>
              </w:rPr>
              <w:t>.</w:t>
            </w:r>
            <w:r>
              <w:rPr>
                <w:b/>
                <w:bCs/>
                <w:noProof w:val="0"/>
                <w:sz w:val="26"/>
                <w:szCs w:val="26"/>
                <w:rtl/>
              </w:rPr>
              <w:t xml:space="preserve"> נ' ש</w:t>
            </w:r>
            <w:r w:rsidR="00243235">
              <w:rPr>
                <w:rFonts w:hint="cs"/>
                <w:b/>
                <w:bCs/>
                <w:noProof w:val="0"/>
                <w:sz w:val="26"/>
                <w:szCs w:val="26"/>
                <w:rtl/>
              </w:rPr>
              <w:t>.</w:t>
            </w:r>
          </w:p>
          <w:p w:rsidR="007D5C4E" w:rsidRDefault="007D5C4E">
            <w:pPr>
              <w:rPr>
                <w:b/>
                <w:bCs/>
                <w:noProof w:val="0"/>
                <w:sz w:val="2"/>
                <w:szCs w:val="2"/>
                <w:rtl/>
              </w:rPr>
            </w:pPr>
          </w:p>
          <w:p w:rsidR="007D5C4E" w:rsidRDefault="007D5C4E">
            <w:pPr>
              <w:rPr>
                <w:sz w:val="20"/>
                <w:szCs w:val="20"/>
                <w:rtl/>
              </w:rPr>
            </w:pPr>
            <w:r>
              <w:rPr>
                <w:rtl/>
              </w:rPr>
              <w:t xml:space="preserve">                           </w:t>
            </w:r>
            <w:r>
              <w:rPr>
                <w:sz w:val="20"/>
                <w:szCs w:val="20"/>
                <w:rtl/>
              </w:rPr>
              <w:t xml:space="preserve">                                       </w:t>
            </w:r>
          </w:p>
          <w:p w:rsidR="007D5C4E" w:rsidRDefault="007D5C4E">
            <w:pPr>
              <w:rPr>
                <w:sz w:val="20"/>
                <w:szCs w:val="20"/>
                <w:rtl/>
              </w:rPr>
            </w:pPr>
            <w:r>
              <w:rPr>
                <w:sz w:val="20"/>
                <w:szCs w:val="20"/>
                <w:rtl/>
              </w:rPr>
              <w:t xml:space="preserve">   </w:t>
            </w:r>
          </w:p>
        </w:tc>
      </w:tr>
    </w:tbl>
    <w:p w:rsidR="007D5C4E" w:rsidRDefault="007D5C4E" w:rsidP="007D5C4E">
      <w:pPr>
        <w:suppressLineNumbers/>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D5C4E" w:rsidTr="007D5C4E">
        <w:trPr>
          <w:jc w:val="center"/>
        </w:trPr>
        <w:tc>
          <w:tcPr>
            <w:tcW w:w="743" w:type="dxa"/>
            <w:hideMark/>
          </w:tcPr>
          <w:p w:rsidR="007D5C4E" w:rsidRDefault="007D5C4E">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hideMark/>
          </w:tcPr>
          <w:p w:rsidR="007D5C4E" w:rsidRDefault="007D5C4E">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7D5C4E" w:rsidTr="007D5C4E">
        <w:trPr>
          <w:jc w:val="center"/>
        </w:trPr>
        <w:tc>
          <w:tcPr>
            <w:tcW w:w="3249" w:type="dxa"/>
            <w:gridSpan w:val="2"/>
          </w:tcPr>
          <w:p w:rsidR="007D5C4E" w:rsidRDefault="007D5C4E">
            <w:pPr>
              <w:suppressLineNumbers/>
              <w:rPr>
                <w:rFonts w:ascii="Arial" w:hAnsi="Arial"/>
                <w:b/>
                <w:bCs/>
                <w:noProof w:val="0"/>
                <w:sz w:val="26"/>
                <w:szCs w:val="26"/>
              </w:rPr>
            </w:pPr>
          </w:p>
          <w:p w:rsidR="007D5C4E" w:rsidRDefault="007D5C4E">
            <w:pPr>
              <w:suppressLineNumbers/>
              <w:jc w:val="left"/>
              <w:rPr>
                <w:rFonts w:ascii="Arial" w:hAnsi="Arial"/>
                <w:b/>
                <w:bCs/>
                <w:noProof w:val="0"/>
                <w:sz w:val="26"/>
                <w:szCs w:val="26"/>
              </w:rPr>
            </w:pPr>
            <w:r>
              <w:rPr>
                <w:rFonts w:ascii="Arial" w:hAnsi="Arial"/>
                <w:b/>
                <w:bCs/>
                <w:noProof w:val="0"/>
                <w:sz w:val="26"/>
                <w:szCs w:val="26"/>
                <w:rtl/>
              </w:rPr>
              <w:t>מבקשת</w:t>
            </w:r>
          </w:p>
        </w:tc>
        <w:tc>
          <w:tcPr>
            <w:tcW w:w="5571" w:type="dxa"/>
          </w:tcPr>
          <w:p w:rsidR="007D5C4E" w:rsidRDefault="007D5C4E">
            <w:pPr>
              <w:suppressLineNumbers/>
              <w:rPr>
                <w:rFonts w:ascii="Arial" w:hAnsi="Arial"/>
                <w:b/>
                <w:bCs/>
                <w:noProof w:val="0"/>
                <w:sz w:val="26"/>
                <w:szCs w:val="26"/>
                <w:rtl/>
              </w:rPr>
            </w:pPr>
          </w:p>
          <w:p w:rsidR="007D5C4E" w:rsidRDefault="007D5C4E" w:rsidP="00243235">
            <w:pPr>
              <w:suppressLineNumbers/>
              <w:jc w:val="left"/>
              <w:rPr>
                <w:b/>
                <w:bCs/>
                <w:noProof w:val="0"/>
                <w:sz w:val="26"/>
                <w:szCs w:val="26"/>
                <w:rtl/>
              </w:rPr>
            </w:pPr>
            <w:r>
              <w:rPr>
                <w:rFonts w:ascii="Arial" w:hAnsi="Arial"/>
                <w:b/>
                <w:bCs/>
                <w:noProof w:val="0"/>
                <w:sz w:val="26"/>
                <w:szCs w:val="26"/>
                <w:rtl/>
              </w:rPr>
              <w:t>י</w:t>
            </w:r>
            <w:r w:rsidR="00243235">
              <w:rPr>
                <w:rFonts w:ascii="Arial" w:hAnsi="Arial" w:hint="cs"/>
                <w:b/>
                <w:bCs/>
                <w:noProof w:val="0"/>
                <w:sz w:val="26"/>
                <w:szCs w:val="26"/>
                <w:rtl/>
              </w:rPr>
              <w:t>.</w:t>
            </w:r>
            <w:r>
              <w:rPr>
                <w:rFonts w:ascii="Arial" w:hAnsi="Arial"/>
                <w:b/>
                <w:bCs/>
                <w:noProof w:val="0"/>
                <w:sz w:val="26"/>
                <w:szCs w:val="26"/>
                <w:rtl/>
              </w:rPr>
              <w:t xml:space="preserve"> ש</w:t>
            </w:r>
            <w:r w:rsidR="00243235">
              <w:rPr>
                <w:rFonts w:hint="cs"/>
                <w:b/>
                <w:bCs/>
                <w:noProof w:val="0"/>
                <w:sz w:val="26"/>
                <w:szCs w:val="26"/>
                <w:rtl/>
              </w:rPr>
              <w:t>.</w:t>
            </w:r>
          </w:p>
          <w:p w:rsidR="007D5C4E" w:rsidRDefault="007D5C4E">
            <w:pPr>
              <w:suppressLineNumbers/>
              <w:jc w:val="left"/>
              <w:rPr>
                <w:noProof w:val="0"/>
                <w:rtl/>
              </w:rPr>
            </w:pPr>
            <w:r>
              <w:rPr>
                <w:noProof w:val="0"/>
                <w:rtl/>
              </w:rPr>
              <w:t xml:space="preserve">מיוצגת ע"י עו"ד ניר </w:t>
            </w:r>
            <w:proofErr w:type="spellStart"/>
            <w:r>
              <w:rPr>
                <w:noProof w:val="0"/>
                <w:rtl/>
              </w:rPr>
              <w:t>פייטלוביץ</w:t>
            </w:r>
            <w:proofErr w:type="spellEnd"/>
          </w:p>
        </w:tc>
      </w:tr>
      <w:tr w:rsidR="007D5C4E" w:rsidTr="007D5C4E">
        <w:trPr>
          <w:jc w:val="center"/>
        </w:trPr>
        <w:tc>
          <w:tcPr>
            <w:tcW w:w="8820" w:type="dxa"/>
            <w:gridSpan w:val="3"/>
          </w:tcPr>
          <w:p w:rsidR="007D5C4E" w:rsidRDefault="007D5C4E">
            <w:pPr>
              <w:suppressLineNumbers/>
              <w:rPr>
                <w:rFonts w:ascii="Arial" w:hAnsi="Arial"/>
                <w:b/>
                <w:bCs/>
                <w:noProof w:val="0"/>
                <w:sz w:val="26"/>
                <w:szCs w:val="26"/>
              </w:rPr>
            </w:pPr>
          </w:p>
          <w:p w:rsidR="007D5C4E" w:rsidRDefault="007D5C4E">
            <w:pPr>
              <w:suppressLineNumbers/>
              <w:jc w:val="center"/>
              <w:rPr>
                <w:rFonts w:ascii="Arial" w:hAnsi="Arial"/>
                <w:b/>
                <w:bCs/>
                <w:noProof w:val="0"/>
                <w:sz w:val="26"/>
                <w:szCs w:val="26"/>
                <w:rtl/>
              </w:rPr>
            </w:pPr>
            <w:r>
              <w:rPr>
                <w:rFonts w:ascii="Arial" w:hAnsi="Arial"/>
                <w:b/>
                <w:bCs/>
                <w:noProof w:val="0"/>
                <w:sz w:val="26"/>
                <w:szCs w:val="26"/>
                <w:rtl/>
              </w:rPr>
              <w:t>נגד</w:t>
            </w:r>
          </w:p>
        </w:tc>
      </w:tr>
      <w:tr w:rsidR="007D5C4E" w:rsidTr="007D5C4E">
        <w:trPr>
          <w:jc w:val="center"/>
        </w:trPr>
        <w:tc>
          <w:tcPr>
            <w:tcW w:w="3249" w:type="dxa"/>
            <w:gridSpan w:val="2"/>
          </w:tcPr>
          <w:p w:rsidR="007D5C4E" w:rsidRDefault="007D5C4E">
            <w:pPr>
              <w:suppressLineNumbers/>
              <w:rPr>
                <w:rFonts w:ascii="Arial" w:hAnsi="Arial"/>
                <w:b/>
                <w:bCs/>
                <w:noProof w:val="0"/>
                <w:sz w:val="26"/>
                <w:szCs w:val="26"/>
              </w:rPr>
            </w:pPr>
          </w:p>
          <w:p w:rsidR="007D5C4E" w:rsidRDefault="007D5C4E">
            <w:pPr>
              <w:suppressLineNumbers/>
              <w:jc w:val="left"/>
              <w:rPr>
                <w:rFonts w:ascii="Arial" w:hAnsi="Arial"/>
                <w:b/>
                <w:bCs/>
                <w:noProof w:val="0"/>
                <w:sz w:val="26"/>
                <w:szCs w:val="26"/>
                <w:rtl/>
              </w:rPr>
            </w:pPr>
            <w:r>
              <w:rPr>
                <w:rFonts w:ascii="Arial" w:hAnsi="Arial"/>
                <w:b/>
                <w:bCs/>
                <w:noProof w:val="0"/>
                <w:sz w:val="26"/>
                <w:szCs w:val="26"/>
                <w:rtl/>
              </w:rPr>
              <w:t>משיב</w:t>
            </w:r>
          </w:p>
        </w:tc>
        <w:tc>
          <w:tcPr>
            <w:tcW w:w="5571" w:type="dxa"/>
          </w:tcPr>
          <w:p w:rsidR="007D5C4E" w:rsidRDefault="007D5C4E">
            <w:pPr>
              <w:suppressLineNumbers/>
              <w:rPr>
                <w:rFonts w:ascii="Arial" w:hAnsi="Arial"/>
                <w:b/>
                <w:bCs/>
                <w:noProof w:val="0"/>
                <w:sz w:val="26"/>
                <w:szCs w:val="26"/>
              </w:rPr>
            </w:pPr>
          </w:p>
          <w:p w:rsidR="007D5C4E" w:rsidRDefault="007D5C4E" w:rsidP="00243235">
            <w:pPr>
              <w:suppressLineNumbers/>
              <w:jc w:val="left"/>
              <w:rPr>
                <w:b/>
                <w:bCs/>
                <w:noProof w:val="0"/>
                <w:sz w:val="26"/>
                <w:szCs w:val="26"/>
                <w:rtl/>
              </w:rPr>
            </w:pPr>
            <w:r>
              <w:rPr>
                <w:rFonts w:ascii="Arial" w:hAnsi="Arial"/>
                <w:b/>
                <w:bCs/>
                <w:noProof w:val="0"/>
                <w:sz w:val="26"/>
                <w:szCs w:val="26"/>
                <w:rtl/>
              </w:rPr>
              <w:t>ע</w:t>
            </w:r>
            <w:r w:rsidR="00243235">
              <w:rPr>
                <w:rFonts w:ascii="Arial" w:hAnsi="Arial" w:hint="cs"/>
                <w:b/>
                <w:bCs/>
                <w:noProof w:val="0"/>
                <w:sz w:val="26"/>
                <w:szCs w:val="26"/>
                <w:rtl/>
              </w:rPr>
              <w:t>.</w:t>
            </w:r>
            <w:r>
              <w:rPr>
                <w:rFonts w:ascii="Arial" w:hAnsi="Arial"/>
                <w:b/>
                <w:bCs/>
                <w:noProof w:val="0"/>
                <w:sz w:val="26"/>
                <w:szCs w:val="26"/>
                <w:rtl/>
              </w:rPr>
              <w:t>ש</w:t>
            </w:r>
            <w:r w:rsidR="00243235">
              <w:rPr>
                <w:rFonts w:ascii="Arial" w:hAnsi="Arial" w:hint="cs"/>
                <w:b/>
                <w:bCs/>
                <w:noProof w:val="0"/>
                <w:sz w:val="26"/>
                <w:szCs w:val="26"/>
                <w:rtl/>
              </w:rPr>
              <w:t>.</w:t>
            </w:r>
          </w:p>
          <w:p w:rsidR="007D5C4E" w:rsidRDefault="007D5C4E">
            <w:pPr>
              <w:suppressLineNumbers/>
              <w:jc w:val="left"/>
              <w:rPr>
                <w:noProof w:val="0"/>
                <w:rtl/>
              </w:rPr>
            </w:pPr>
            <w:r>
              <w:rPr>
                <w:noProof w:val="0"/>
                <w:rtl/>
              </w:rPr>
              <w:t xml:space="preserve">מיוצג מטעם הסיוע המשפטי ע"י </w:t>
            </w:r>
          </w:p>
          <w:p w:rsidR="007D5C4E" w:rsidRDefault="007D5C4E">
            <w:pPr>
              <w:suppressLineNumbers/>
              <w:jc w:val="left"/>
              <w:rPr>
                <w:noProof w:val="0"/>
                <w:rtl/>
              </w:rPr>
            </w:pPr>
            <w:r>
              <w:rPr>
                <w:noProof w:val="0"/>
                <w:rtl/>
              </w:rPr>
              <w:t>עוה"ד נועה כהנא ויבגני פרחיה</w:t>
            </w:r>
          </w:p>
        </w:tc>
      </w:tr>
      <w:tr w:rsidR="007D5C4E" w:rsidTr="007D5C4E">
        <w:trPr>
          <w:jc w:val="center"/>
        </w:trPr>
        <w:tc>
          <w:tcPr>
            <w:tcW w:w="8820" w:type="dxa"/>
            <w:gridSpan w:val="3"/>
          </w:tcPr>
          <w:p w:rsidR="007D5C4E" w:rsidRDefault="007D5C4E">
            <w:pPr>
              <w:suppressLineNumbers/>
              <w:rPr>
                <w:rFonts w:ascii="Arial" w:hAnsi="Arial"/>
                <w:b/>
                <w:bCs/>
                <w:noProof w:val="0"/>
                <w:sz w:val="26"/>
                <w:szCs w:val="26"/>
                <w:rtl/>
              </w:rPr>
            </w:pPr>
          </w:p>
        </w:tc>
      </w:tr>
    </w:tbl>
    <w:p w:rsidR="007D5C4E" w:rsidRDefault="007D5C4E" w:rsidP="007D5C4E">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D5C4E" w:rsidTr="007D5C4E">
        <w:trPr>
          <w:jc w:val="center"/>
        </w:trPr>
        <w:tc>
          <w:tcPr>
            <w:tcW w:w="8820" w:type="dxa"/>
          </w:tcPr>
          <w:p w:rsidR="007D5C4E" w:rsidRDefault="007D5C4E">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7D5C4E" w:rsidRDefault="007D5C4E">
            <w:pPr>
              <w:bidi w:val="0"/>
              <w:jc w:val="center"/>
              <w:rPr>
                <w:rFonts w:ascii="Arial" w:hAnsi="Arial"/>
                <w:b/>
                <w:bCs/>
                <w:noProof w:val="0"/>
                <w:sz w:val="28"/>
                <w:szCs w:val="28"/>
                <w:u w:val="single"/>
                <w:rtl/>
              </w:rPr>
            </w:pPr>
          </w:p>
        </w:tc>
      </w:tr>
    </w:tbl>
    <w:p w:rsidR="007D5C4E" w:rsidRDefault="007D5C4E" w:rsidP="007D5C4E">
      <w:pPr>
        <w:spacing w:line="360" w:lineRule="auto"/>
        <w:jc w:val="both"/>
        <w:rPr>
          <w:rFonts w:ascii="David" w:hAnsi="David"/>
          <w:noProof w:val="0"/>
        </w:rPr>
      </w:pPr>
      <w:bookmarkStart w:id="1" w:name="NGCSBookmark"/>
      <w:bookmarkEnd w:id="1"/>
      <w:r>
        <w:rPr>
          <w:rFonts w:ascii="David" w:hAnsi="David"/>
          <w:rtl/>
        </w:rPr>
        <w:t>לפניי בקשה שהוכתרה כ- "</w:t>
      </w:r>
      <w:r>
        <w:rPr>
          <w:rFonts w:ascii="David" w:hAnsi="David"/>
          <w:u w:val="single"/>
          <w:rtl/>
        </w:rPr>
        <w:t>בקשה בהולה ביותר לעניין קטין בהתאם לנוהל נשיאת בית המשפט העליון בעניין ניכור הורי</w:t>
      </w:r>
      <w:r>
        <w:rPr>
          <w:rFonts w:ascii="David" w:hAnsi="David"/>
          <w:rtl/>
        </w:rPr>
        <w:t>". הבקשה הוגשה במסגרת תביעתה בעניין זה.</w:t>
      </w:r>
    </w:p>
    <w:p w:rsidR="007D5C4E" w:rsidRDefault="007D5C4E" w:rsidP="007D5C4E">
      <w:pPr>
        <w:spacing w:line="360" w:lineRule="auto"/>
        <w:jc w:val="both"/>
        <w:rPr>
          <w:rFonts w:ascii="David" w:hAnsi="David"/>
          <w:noProof w:val="0"/>
          <w:rtl/>
        </w:rPr>
      </w:pPr>
    </w:p>
    <w:p w:rsidR="007D5C4E" w:rsidRDefault="007D5C4E" w:rsidP="007D5C4E">
      <w:pPr>
        <w:spacing w:line="360" w:lineRule="auto"/>
        <w:ind w:left="720" w:hanging="720"/>
        <w:jc w:val="both"/>
        <w:rPr>
          <w:rFonts w:ascii="David" w:hAnsi="David"/>
        </w:rPr>
      </w:pPr>
      <w:r>
        <w:rPr>
          <w:rFonts w:ascii="David" w:hAnsi="David"/>
          <w:rtl/>
        </w:rPr>
        <w:t>1.</w:t>
      </w:r>
      <w:r>
        <w:rPr>
          <w:rFonts w:ascii="David" w:hAnsi="David"/>
          <w:rtl/>
        </w:rPr>
        <w:tab/>
        <w:t xml:space="preserve">בבקשתה טענה המבקשת שהיא לא בקשר עם הילדים מזה כשלושה שבועות, זאת משום  ש"... </w:t>
      </w:r>
      <w:r>
        <w:rPr>
          <w:rFonts w:ascii="David" w:hAnsi="David"/>
          <w:b/>
          <w:bCs/>
          <w:rtl/>
        </w:rPr>
        <w:t>המשיב חטף אותם לחזקתו בניגוד לזמני השהות הקבוע בפסק הדין, בניגוד לשלוש החלטות של ביהמ"ש המורות לו להשיב את הקטינים לבית האם, שוטף להם את הראש בהבטחות וסיפורים, מנע מהם ללכת לבית המבקשת, הפסיק לשלוח אותם לבית הספר תוך שהוא מוציא אישור רפואי פיקטיבי או רטרואקטיבי למחלת ילד מקופ"ח, והכול תוך הפרה בוטה של ההחלטות שיפוטיות הניתנות פעם אחר פעם כאילו החלטותיו של ביהמ"ש הנכבד המלצות הם</w:t>
      </w:r>
      <w:r>
        <w:rPr>
          <w:rFonts w:ascii="David" w:hAnsi="David"/>
          <w:rtl/>
        </w:rPr>
        <w:t>".</w:t>
      </w:r>
    </w:p>
    <w:p w:rsidR="007D5C4E" w:rsidRDefault="007D5C4E" w:rsidP="007D5C4E">
      <w:pPr>
        <w:ind w:left="720" w:hanging="720"/>
        <w:rPr>
          <w:rtl/>
        </w:rPr>
      </w:pPr>
    </w:p>
    <w:p w:rsidR="007D5C4E" w:rsidRDefault="007D5C4E" w:rsidP="007D5C4E">
      <w:pPr>
        <w:spacing w:line="360" w:lineRule="auto"/>
        <w:ind w:left="720"/>
        <w:jc w:val="both"/>
        <w:rPr>
          <w:rFonts w:ascii="David" w:hAnsi="David"/>
          <w:rtl/>
        </w:rPr>
      </w:pPr>
      <w:r>
        <w:rPr>
          <w:rFonts w:ascii="David" w:hAnsi="David"/>
          <w:rtl/>
        </w:rPr>
        <w:t>המבקשת הדגישה שהיא לא</w:t>
      </w:r>
      <w:r>
        <w:rPr>
          <w:rFonts w:ascii="David" w:hAnsi="David"/>
          <w:b/>
          <w:bCs/>
          <w:rtl/>
        </w:rPr>
        <w:t xml:space="preserve"> "</w:t>
      </w:r>
      <w:r>
        <w:rPr>
          <w:rFonts w:ascii="David" w:hAnsi="David"/>
          <w:rtl/>
        </w:rPr>
        <w:t>...</w:t>
      </w:r>
      <w:r>
        <w:rPr>
          <w:rFonts w:ascii="David" w:hAnsi="David"/>
          <w:b/>
          <w:bCs/>
          <w:rtl/>
        </w:rPr>
        <w:t>מתנגדת לשוחח על זמני שהות נרחבים יותר בין הקטינים לבין המשיב, ואף הציעה זאת בתחילת הדרך בזמן הפרידה כאשר מי שהצהיר בפני ביהמ"ש כי אינו מעוניין לזמני שהות מעבר לסופ"ש לסירוגין היה המשיב עצמו</w:t>
      </w:r>
      <w:r>
        <w:rPr>
          <w:rFonts w:ascii="David" w:hAnsi="David"/>
          <w:rtl/>
        </w:rPr>
        <w:t>".</w:t>
      </w:r>
    </w:p>
    <w:p w:rsidR="007D5C4E" w:rsidRDefault="007D5C4E" w:rsidP="007D5C4E">
      <w:pPr>
        <w:spacing w:line="360" w:lineRule="auto"/>
        <w:ind w:left="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2.</w:t>
      </w:r>
      <w:r>
        <w:rPr>
          <w:rFonts w:ascii="David" w:hAnsi="David"/>
          <w:rtl/>
        </w:rPr>
        <w:tab/>
        <w:t>זה המקום להדגיש שעל פי הסכמות הצדדים לפני כ- 5 חודשים (4/12/2023) בהסכמת הצדדים (</w:t>
      </w:r>
      <w:r>
        <w:rPr>
          <w:rFonts w:ascii="David" w:hAnsi="David"/>
          <w:u w:val="single"/>
          <w:rtl/>
        </w:rPr>
        <w:t>תלה"מ 4938-06-23</w:t>
      </w:r>
      <w:r>
        <w:rPr>
          <w:rFonts w:ascii="David" w:hAnsi="David"/>
          <w:rtl/>
        </w:rPr>
        <w:t>) ניתן פסק דין הקובע אחריות הורית לאם. מצאתי להביא מדברי המשיב  בפרוטוקול עובר למתן פסק הדין " "</w:t>
      </w:r>
      <w:r>
        <w:rPr>
          <w:rFonts w:ascii="David" w:hAnsi="David"/>
          <w:b/>
          <w:bCs/>
          <w:rtl/>
        </w:rPr>
        <w:t>כשבית המשפט אומר לי שהיא מבקשת להיות האם עם האחריות ההורית אני משיב, שכבר הסכמנו על משמורת מספטמבר. הסכמנו שהאם היא תהיה האם המשמורנית. כרגע בגלל שיצאתי מהעיר אני לא יכול לראות אותם באמצע השבוע, כל שבת שנייה אראה אותן. אני אבוא לפה להורים שלי ואני אשהה עם הילדים אצל ההורים שלי ובמוצאי שבת אני אחזיר אותם</w:t>
      </w:r>
      <w:r>
        <w:rPr>
          <w:rFonts w:ascii="David" w:hAnsi="David"/>
          <w:rtl/>
        </w:rPr>
        <w:t>.  ...</w:t>
      </w:r>
      <w:r>
        <w:rPr>
          <w:rFonts w:ascii="David" w:hAnsi="David"/>
          <w:b/>
          <w:bCs/>
          <w:rtl/>
        </w:rPr>
        <w:t xml:space="preserve">כשבית </w:t>
      </w:r>
      <w:r>
        <w:rPr>
          <w:rFonts w:ascii="David" w:hAnsi="David"/>
          <w:b/>
          <w:bCs/>
          <w:rtl/>
        </w:rPr>
        <w:lastRenderedPageBreak/>
        <w:t>המשפט שואל אותי ביחס לחגים ולחופשות לחלוקה שוויונית ביני לבין האם אני משיב – מעולה. בחופש הגדול אני לא יכול לקחת אותם. אם יהיה לי חופש מהעבודה ברור שאני אקח אותם. לגבי חופשת פסח וחול המועד, אין בעיה, חצי חצי. גם בסוכות וגם בחנוכה חצי חצי</w:t>
      </w:r>
      <w:r>
        <w:rPr>
          <w:rFonts w:ascii="David" w:hAnsi="David"/>
          <w:rtl/>
        </w:rPr>
        <w:t>.".</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jc w:val="both"/>
        <w:rPr>
          <w:rFonts w:ascii="David" w:hAnsi="David"/>
          <w:rtl/>
        </w:rPr>
      </w:pPr>
      <w:r>
        <w:rPr>
          <w:rFonts w:ascii="David" w:hAnsi="David"/>
          <w:rtl/>
        </w:rPr>
        <w:t>3.</w:t>
      </w:r>
      <w:r>
        <w:rPr>
          <w:rFonts w:ascii="David" w:hAnsi="David"/>
          <w:rtl/>
        </w:rPr>
        <w:tab/>
        <w:t xml:space="preserve">הבקשה נמסרה למשיב ביום 30/4/24  וחרף המצאה כדין הוא בחר שלא להשיב לה. </w:t>
      </w:r>
    </w:p>
    <w:p w:rsidR="007D5C4E" w:rsidRDefault="007D5C4E" w:rsidP="007D5C4E">
      <w:pPr>
        <w:spacing w:line="360" w:lineRule="auto"/>
        <w:jc w:val="both"/>
        <w:rPr>
          <w:rFonts w:ascii="David" w:hAnsi="David"/>
          <w:rtl/>
        </w:rPr>
      </w:pPr>
    </w:p>
    <w:p w:rsidR="007D5C4E" w:rsidRDefault="007D5C4E" w:rsidP="007D5C4E">
      <w:pPr>
        <w:jc w:val="both"/>
        <w:rPr>
          <w:rFonts w:ascii="David" w:hAnsi="David"/>
          <w:rtl/>
        </w:rPr>
      </w:pPr>
      <w:r>
        <w:rPr>
          <w:rFonts w:ascii="David" w:hAnsi="David"/>
          <w:rtl/>
        </w:rPr>
        <w:t>4.</w:t>
      </w:r>
      <w:r>
        <w:rPr>
          <w:rFonts w:ascii="David" w:hAnsi="David"/>
          <w:rtl/>
        </w:rPr>
        <w:tab/>
        <w:t xml:space="preserve">הבקשה נקבעה לדיון ונשמעה ביום 7/5/24. </w:t>
      </w:r>
    </w:p>
    <w:p w:rsidR="007D5C4E" w:rsidRDefault="007D5C4E" w:rsidP="007D5C4E">
      <w:pPr>
        <w:jc w:val="both"/>
        <w:rPr>
          <w:rFonts w:ascii="David" w:hAnsi="David"/>
          <w:rtl/>
        </w:rPr>
      </w:pPr>
    </w:p>
    <w:p w:rsidR="007D5C4E" w:rsidRDefault="007D5C4E" w:rsidP="007D5C4E">
      <w:pPr>
        <w:jc w:val="both"/>
        <w:rPr>
          <w:rFonts w:ascii="David" w:hAnsi="David"/>
          <w:rtl/>
        </w:rPr>
      </w:pPr>
      <w:r>
        <w:rPr>
          <w:rFonts w:ascii="David" w:hAnsi="David"/>
          <w:rtl/>
        </w:rPr>
        <w:t>5.</w:t>
      </w:r>
      <w:r>
        <w:rPr>
          <w:rFonts w:ascii="David" w:hAnsi="David"/>
          <w:rtl/>
        </w:rPr>
        <w:tab/>
        <w:t>בדיון שב בא כוחה של המבקשת על טענותיה.</w:t>
      </w:r>
    </w:p>
    <w:p w:rsidR="007D5C4E" w:rsidRDefault="007D5C4E" w:rsidP="007D5C4E">
      <w:pPr>
        <w:jc w:val="both"/>
        <w:rPr>
          <w:rFonts w:ascii="David" w:hAnsi="David"/>
          <w:rtl/>
        </w:rPr>
      </w:pPr>
    </w:p>
    <w:p w:rsidR="007D5C4E" w:rsidRDefault="007D5C4E" w:rsidP="007D5C4E">
      <w:pPr>
        <w:ind w:firstLine="720"/>
        <w:jc w:val="both"/>
        <w:rPr>
          <w:rFonts w:ascii="David" w:hAnsi="David"/>
          <w:rtl/>
        </w:rPr>
      </w:pPr>
      <w:r>
        <w:rPr>
          <w:rFonts w:ascii="David" w:hAnsi="David"/>
          <w:rtl/>
        </w:rPr>
        <w:t>בא-כוח המשיב טען בדיון בין היתר :</w:t>
      </w:r>
    </w:p>
    <w:p w:rsidR="007D5C4E" w:rsidRDefault="007D5C4E" w:rsidP="007D5C4E">
      <w:pPr>
        <w:ind w:firstLine="720"/>
        <w:jc w:val="both"/>
        <w:rPr>
          <w:rFonts w:ascii="David" w:hAnsi="David"/>
          <w:rtl/>
        </w:rPr>
      </w:pPr>
    </w:p>
    <w:p w:rsidR="007D5C4E" w:rsidRDefault="007D5C4E" w:rsidP="007D5C4E">
      <w:pPr>
        <w:spacing w:line="360" w:lineRule="auto"/>
        <w:ind w:firstLine="720"/>
        <w:jc w:val="both"/>
        <w:rPr>
          <w:rFonts w:ascii="David" w:hAnsi="David"/>
          <w:b/>
          <w:bCs/>
          <w:rtl/>
        </w:rPr>
      </w:pPr>
      <w:r>
        <w:rPr>
          <w:rFonts w:ascii="David" w:hAnsi="David"/>
          <w:rtl/>
        </w:rPr>
        <w:t>"</w:t>
      </w:r>
      <w:r>
        <w:rPr>
          <w:rFonts w:ascii="David" w:hAnsi="David"/>
          <w:b/>
          <w:bCs/>
          <w:rtl/>
        </w:rPr>
        <w:t xml:space="preserve">שמעתי בקשב רב את חברי בלא מפריע ורשמתי נקודה נקודה. </w:t>
      </w:r>
    </w:p>
    <w:p w:rsidR="007D5C4E" w:rsidRDefault="007D5C4E" w:rsidP="007D5C4E">
      <w:pPr>
        <w:spacing w:line="360" w:lineRule="auto"/>
        <w:ind w:firstLine="720"/>
        <w:jc w:val="both"/>
        <w:rPr>
          <w:rFonts w:ascii="David" w:hAnsi="David"/>
          <w:b/>
          <w:bCs/>
          <w:rtl/>
        </w:rPr>
      </w:pPr>
      <w:r>
        <w:rPr>
          <w:rFonts w:ascii="David" w:hAnsi="David"/>
          <w:b/>
          <w:bCs/>
          <w:rtl/>
        </w:rPr>
        <w:t xml:space="preserve">האמת לא יכולה להיות רחוקה יותר. הילדים אצל האבא. </w:t>
      </w:r>
    </w:p>
    <w:p w:rsidR="007D5C4E" w:rsidRDefault="007D5C4E" w:rsidP="007D5C4E">
      <w:pPr>
        <w:spacing w:line="360" w:lineRule="auto"/>
        <w:ind w:left="720"/>
        <w:jc w:val="both"/>
        <w:rPr>
          <w:rFonts w:ascii="David" w:hAnsi="David"/>
          <w:b/>
          <w:bCs/>
        </w:rPr>
      </w:pPr>
      <w:r>
        <w:rPr>
          <w:rFonts w:ascii="David" w:hAnsi="David"/>
          <w:b/>
          <w:bCs/>
          <w:rtl/>
        </w:rPr>
        <w:t>כיצד זה האב צריך להחזיר את הילדים כאשר מה שעושה האימא זה מחזירה את הילדים. האיימא משחקת איזה משחק. בניגוד לטענות חברי מצד האמא, לנו כן יש ראיות, אדוני לא צפה בסרטון שבו האמא זרקה את הילדים מהבית. זה היה לפני כחודש לפני פורים. ... גם כשהוא אומר לילדים ללכת לאימא היא אומרת שאינה רוצה ומחזירה אותה היא באה לבימ"ש ואומרת אחרת.</w:t>
      </w:r>
    </w:p>
    <w:p w:rsidR="007D5C4E" w:rsidRDefault="007D5C4E" w:rsidP="007D5C4E">
      <w:pPr>
        <w:spacing w:line="360" w:lineRule="auto"/>
        <w:ind w:firstLine="720"/>
        <w:jc w:val="both"/>
        <w:rPr>
          <w:rFonts w:ascii="David" w:hAnsi="David"/>
          <w:b/>
          <w:bCs/>
          <w:rtl/>
        </w:rPr>
      </w:pPr>
      <w:r>
        <w:rPr>
          <w:rFonts w:ascii="David" w:hAnsi="David"/>
          <w:b/>
          <w:bCs/>
          <w:rtl/>
        </w:rPr>
        <w:t xml:space="preserve">זה משחק חולני ופסול. </w:t>
      </w:r>
    </w:p>
    <w:p w:rsidR="007D5C4E" w:rsidRDefault="007D5C4E" w:rsidP="007D5C4E">
      <w:pPr>
        <w:spacing w:line="360" w:lineRule="auto"/>
        <w:ind w:firstLine="720"/>
        <w:jc w:val="both"/>
        <w:rPr>
          <w:rFonts w:ascii="David" w:hAnsi="David"/>
          <w:b/>
          <w:bCs/>
        </w:rPr>
      </w:pPr>
      <w:r>
        <w:rPr>
          <w:rFonts w:ascii="David" w:hAnsi="David"/>
          <w:b/>
          <w:bCs/>
          <w:rtl/>
        </w:rPr>
        <w:t>יש פה מצב בלתי אפשרי. הפסיקה אומרת כי בימ"ש שם דעתו לעמדת הילד עצמו...</w:t>
      </w:r>
    </w:p>
    <w:p w:rsidR="007D5C4E" w:rsidRDefault="007D5C4E" w:rsidP="007D5C4E">
      <w:pPr>
        <w:spacing w:line="360" w:lineRule="auto"/>
        <w:ind w:firstLine="720"/>
        <w:jc w:val="both"/>
        <w:rPr>
          <w:rFonts w:ascii="David" w:hAnsi="David"/>
          <w:b/>
          <w:bCs/>
          <w:rtl/>
        </w:rPr>
      </w:pPr>
      <w:r>
        <w:rPr>
          <w:rFonts w:ascii="David" w:hAnsi="David"/>
          <w:b/>
          <w:bCs/>
          <w:rtl/>
        </w:rPr>
        <w:t>מרשי טוען שהיא לא רוצה לשלוח אותם לבית הספר ולא נותנת להם תיקים.</w:t>
      </w:r>
    </w:p>
    <w:p w:rsidR="007D5C4E" w:rsidRDefault="007D5C4E" w:rsidP="007D5C4E">
      <w:pPr>
        <w:spacing w:line="360" w:lineRule="auto"/>
        <w:ind w:left="720"/>
        <w:jc w:val="both"/>
        <w:rPr>
          <w:rFonts w:ascii="David" w:hAnsi="David"/>
          <w:b/>
          <w:bCs/>
          <w:rtl/>
        </w:rPr>
      </w:pPr>
      <w:r>
        <w:rPr>
          <w:rFonts w:ascii="David" w:hAnsi="David"/>
          <w:b/>
          <w:bCs/>
          <w:rtl/>
        </w:rPr>
        <w:t xml:space="preserve">זה לא העיקר, אנחנו התכנסנו פה בגלל עתירת האם לעניין סוגיית החזרת הילדים אליה. </w:t>
      </w:r>
    </w:p>
    <w:p w:rsidR="007D5C4E" w:rsidRDefault="007D5C4E" w:rsidP="007D5C4E">
      <w:pPr>
        <w:spacing w:line="360" w:lineRule="auto"/>
        <w:ind w:left="720"/>
        <w:jc w:val="both"/>
        <w:rPr>
          <w:rFonts w:ascii="David" w:hAnsi="David"/>
          <w:b/>
          <w:bCs/>
        </w:rPr>
      </w:pPr>
      <w:r>
        <w:rPr>
          <w:rFonts w:ascii="David" w:hAnsi="David"/>
          <w:b/>
          <w:bCs/>
          <w:rtl/>
        </w:rPr>
        <w:t>אני מבקש כי ביהמ"ש יורה על הגשת תסקיר, ועד אז הילדים יהיו אצלו.</w:t>
      </w:r>
    </w:p>
    <w:p w:rsidR="007D5C4E" w:rsidRDefault="007D5C4E" w:rsidP="007D5C4E">
      <w:pPr>
        <w:spacing w:line="360" w:lineRule="auto"/>
        <w:ind w:left="720"/>
        <w:jc w:val="both"/>
        <w:rPr>
          <w:rFonts w:ascii="David" w:hAnsi="David"/>
          <w:b/>
          <w:bCs/>
          <w:rtl/>
        </w:rPr>
      </w:pPr>
      <w:r>
        <w:rPr>
          <w:rFonts w:ascii="David" w:hAnsi="David"/>
          <w:b/>
          <w:bCs/>
          <w:rtl/>
        </w:rPr>
        <w:t>כשמדובר על החזקת ילדים ואדוני נותן החלטה, אדוני צריך לתת החלטה ישימה ואכיפה.</w:t>
      </w:r>
    </w:p>
    <w:p w:rsidR="007D5C4E" w:rsidRDefault="007D5C4E" w:rsidP="007D5C4E">
      <w:pPr>
        <w:spacing w:line="360" w:lineRule="auto"/>
        <w:ind w:firstLine="720"/>
        <w:jc w:val="both"/>
        <w:rPr>
          <w:rFonts w:ascii="David" w:hAnsi="David"/>
          <w:rtl/>
        </w:rPr>
      </w:pPr>
      <w:r>
        <w:rPr>
          <w:rFonts w:ascii="David" w:hAnsi="David"/>
          <w:b/>
          <w:bCs/>
          <w:rtl/>
        </w:rPr>
        <w:t xml:space="preserve">הילדים לא רוצים ללכת לאימא. </w:t>
      </w:r>
      <w:r>
        <w:rPr>
          <w:rFonts w:ascii="David" w:hAnsi="David"/>
          <w:rtl/>
        </w:rPr>
        <w:t>" (פרוטוקול עמ' 3-2).</w:t>
      </w:r>
    </w:p>
    <w:p w:rsidR="007D5C4E" w:rsidRDefault="007D5C4E" w:rsidP="007D5C4E">
      <w:pPr>
        <w:spacing w:line="360" w:lineRule="auto"/>
        <w:ind w:firstLine="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6.</w:t>
      </w:r>
      <w:r>
        <w:rPr>
          <w:rFonts w:ascii="David" w:hAnsi="David"/>
          <w:rtl/>
        </w:rPr>
        <w:tab/>
        <w:t>ביום 24/3/24 הגישה  המבקשת בקשה למתן צו הגנה (</w:t>
      </w:r>
      <w:r>
        <w:rPr>
          <w:rFonts w:ascii="David" w:hAnsi="David"/>
          <w:u w:val="single"/>
          <w:rtl/>
        </w:rPr>
        <w:t>ה"ט 54168-03-24)</w:t>
      </w:r>
      <w:r>
        <w:rPr>
          <w:rFonts w:ascii="David" w:hAnsi="David"/>
          <w:rtl/>
        </w:rPr>
        <w:t xml:space="preserve"> במסגרתו עתרה לצו הגנה שיאסור על המשיב ליצור איתה קשר מכל סוג שהוא שלא להתקרב אליה ברדיוס של 500 מטר ושייקבע שהסדרי השהות של המשיב עם הקטינים יתקיימו על פי פסה"ד בלבד. עוד ציינה המבקשת שמאז מתן פסה"ד לא קיים המשיב את הסדרי השהות שנקבעו אפילו פעם אחת וכן שבחלק מן הפעמים בהם פגש את הקטינים לא השיב אותם הביתה כפי שנקבע ועוד דרש לקחת אותם במועדים שימנעו מהם ללכת לביה"ס. צו הגנה ניתן במעמד צד אחד והדיון נקבע לדיון  במעמד הצדדים ליום 28/3/24.</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7.</w:t>
      </w:r>
      <w:r>
        <w:rPr>
          <w:rFonts w:ascii="David" w:hAnsi="David"/>
          <w:rtl/>
        </w:rPr>
        <w:tab/>
        <w:t xml:space="preserve">בתום הדיון בבקשה במעמד הצדדים ניתנה החלטה המאריכה ב-90 יום את הצו בכל הקשור למבקשת (יודגש שגם </w:t>
      </w:r>
      <w:r>
        <w:rPr>
          <w:rFonts w:ascii="David" w:hAnsi="David"/>
          <w:u w:val="single"/>
          <w:rtl/>
        </w:rPr>
        <w:t>החלטה זו הופרה</w:t>
      </w:r>
      <w:r>
        <w:rPr>
          <w:rFonts w:ascii="David" w:hAnsi="David"/>
          <w:rtl/>
        </w:rPr>
        <w:t xml:space="preserve"> על ידי המשיב בדיון מיום 07/05/24 בבקשה זו העיד המשיב "</w:t>
      </w:r>
      <w:r>
        <w:rPr>
          <w:rFonts w:ascii="David" w:hAnsi="David"/>
          <w:b/>
          <w:bCs/>
          <w:rtl/>
        </w:rPr>
        <w:t>יש לי סרטון  שבעצם ניגשתי אליה לדבר איתה כדי לשכנע אותה ולעזור שהילדים כן יישארו לישון אצלה</w:t>
      </w:r>
      <w:r>
        <w:rPr>
          <w:rFonts w:ascii="David" w:hAnsi="David"/>
          <w:rtl/>
        </w:rPr>
        <w:t xml:space="preserve"> ..."  (שם עמ' 3 ש' 36-35)). </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ind w:left="720"/>
        <w:jc w:val="both"/>
        <w:rPr>
          <w:rFonts w:ascii="David" w:hAnsi="David"/>
          <w:rtl/>
        </w:rPr>
      </w:pPr>
      <w:r>
        <w:rPr>
          <w:rFonts w:ascii="David" w:hAnsi="David"/>
          <w:rtl/>
        </w:rPr>
        <w:lastRenderedPageBreak/>
        <w:t>לעניין הסדרי השהות של המשיב עם הילדים כי "</w:t>
      </w:r>
      <w:r>
        <w:rPr>
          <w:rFonts w:ascii="David" w:hAnsi="David"/>
          <w:b/>
          <w:bCs/>
          <w:rtl/>
        </w:rPr>
        <w:t>הסדרים אלו יחזרו למתכונת שהייתה לפני הגשת הצו ובאופן ביתם המרכזי של הילידים הוא בית האם לשם יוחזרו</w:t>
      </w:r>
      <w:r>
        <w:rPr>
          <w:rFonts w:ascii="David" w:hAnsi="David"/>
          <w:rtl/>
        </w:rPr>
        <w:t xml:space="preserve">".  </w:t>
      </w:r>
    </w:p>
    <w:p w:rsidR="007D5C4E" w:rsidRDefault="007D5C4E" w:rsidP="007D5C4E">
      <w:pPr>
        <w:spacing w:line="360" w:lineRule="auto"/>
        <w:ind w:left="720"/>
        <w:jc w:val="both"/>
        <w:rPr>
          <w:rFonts w:ascii="David" w:hAnsi="David"/>
          <w:rtl/>
        </w:rPr>
      </w:pPr>
    </w:p>
    <w:p w:rsidR="007D5C4E" w:rsidRDefault="007D5C4E" w:rsidP="007D5C4E">
      <w:pPr>
        <w:spacing w:line="360" w:lineRule="auto"/>
        <w:ind w:left="714" w:hanging="630"/>
        <w:jc w:val="both"/>
        <w:rPr>
          <w:rFonts w:ascii="David" w:hAnsi="David"/>
          <w:rtl/>
        </w:rPr>
      </w:pPr>
      <w:r>
        <w:rPr>
          <w:rFonts w:ascii="David" w:hAnsi="David"/>
          <w:rtl/>
        </w:rPr>
        <w:t>8.</w:t>
      </w:r>
      <w:r>
        <w:rPr>
          <w:rFonts w:ascii="David" w:hAnsi="David"/>
          <w:rtl/>
        </w:rPr>
        <w:tab/>
        <w:t>בו ביום, הוגשה בקשה בכתב ידו של המשיב שטען שהילדים אינם רוצים לחזור לבית האם. בהחלטה על בקשה זו נקבע: "</w:t>
      </w:r>
      <w:r>
        <w:rPr>
          <w:rFonts w:ascii="David" w:hAnsi="David"/>
          <w:b/>
          <w:bCs/>
          <w:rtl/>
        </w:rPr>
        <w:t>המבקש ינהג על פי החלטתי ויביא הילדים לבית האם</w:t>
      </w:r>
      <w:r>
        <w:rPr>
          <w:rFonts w:ascii="David" w:hAnsi="David"/>
          <w:rtl/>
        </w:rPr>
        <w:t>".</w:t>
      </w:r>
    </w:p>
    <w:p w:rsidR="007D5C4E" w:rsidRDefault="007D5C4E" w:rsidP="007D5C4E">
      <w:pPr>
        <w:spacing w:line="360" w:lineRule="auto"/>
        <w:ind w:left="714" w:hanging="630"/>
        <w:jc w:val="both"/>
        <w:rPr>
          <w:rFonts w:ascii="David" w:hAnsi="David"/>
          <w:rtl/>
        </w:rPr>
      </w:pPr>
    </w:p>
    <w:p w:rsidR="007D5C4E" w:rsidRDefault="007D5C4E" w:rsidP="007D5C4E">
      <w:pPr>
        <w:spacing w:line="360" w:lineRule="auto"/>
        <w:ind w:left="714"/>
        <w:jc w:val="both"/>
        <w:rPr>
          <w:rFonts w:ascii="David" w:hAnsi="David"/>
          <w:rtl/>
        </w:rPr>
      </w:pPr>
      <w:r>
        <w:rPr>
          <w:rFonts w:ascii="David" w:hAnsi="David"/>
          <w:rtl/>
        </w:rPr>
        <w:t>ביום 31.3.24 הגיש המשיב בקשה נוספת בה עתר "לעזרה" להחזיר את הילדים לבית אמם וטען "</w:t>
      </w:r>
      <w:r>
        <w:rPr>
          <w:rFonts w:ascii="David" w:hAnsi="David"/>
          <w:b/>
          <w:bCs/>
          <w:rtl/>
        </w:rPr>
        <w:t>לאחר ניסיונות חוזרים הילדים לא רוצים ללכת פניתי בבקשה גם לביהמ"ש וגם לתחנת משטרת אילת וגם לרווחה</w:t>
      </w:r>
      <w:r>
        <w:rPr>
          <w:rFonts w:ascii="David" w:hAnsi="David"/>
          <w:rtl/>
        </w:rPr>
        <w:t>". בהחלטה עוקבת נקבע "</w:t>
      </w:r>
      <w:r>
        <w:rPr>
          <w:rFonts w:ascii="David" w:hAnsi="David"/>
          <w:b/>
          <w:bCs/>
          <w:rtl/>
        </w:rPr>
        <w:t>זו בקשה נוספת של האב חרף החלטותיי הקודמות. התנהלותו של האב עולה כדי ביזיון ביהמ"ש ככל שהאב לא ישיב את הילדים לאלתר לבית האם יחויב בתשלום סך 200 ₪ לאוצר המדינה על אי החזרתם, האב יודיע על החזרתם לבית המשפט</w:t>
      </w:r>
      <w:r>
        <w:rPr>
          <w:rFonts w:ascii="David" w:hAnsi="David"/>
          <w:rtl/>
        </w:rPr>
        <w:t>".</w:t>
      </w:r>
    </w:p>
    <w:p w:rsidR="007D5C4E" w:rsidRDefault="007D5C4E" w:rsidP="007D5C4E">
      <w:pPr>
        <w:spacing w:line="360" w:lineRule="auto"/>
        <w:ind w:left="714"/>
        <w:jc w:val="both"/>
        <w:rPr>
          <w:rFonts w:ascii="David" w:hAnsi="David"/>
          <w:rtl/>
        </w:rPr>
      </w:pPr>
    </w:p>
    <w:p w:rsidR="007D5C4E" w:rsidRDefault="007D5C4E" w:rsidP="007D5C4E">
      <w:pPr>
        <w:spacing w:line="360" w:lineRule="auto"/>
        <w:jc w:val="both"/>
        <w:rPr>
          <w:rFonts w:ascii="David" w:hAnsi="David"/>
          <w:rtl/>
        </w:rPr>
      </w:pPr>
      <w:r>
        <w:rPr>
          <w:rFonts w:ascii="David" w:hAnsi="David"/>
          <w:rtl/>
        </w:rPr>
        <w:tab/>
        <w:t>ביום 4.4.24 הגישה המבקשת הודעה לפיה הילדים טרם שבו לביתה.</w:t>
      </w:r>
    </w:p>
    <w:p w:rsidR="007D5C4E" w:rsidRDefault="007D5C4E" w:rsidP="007D5C4E">
      <w:pPr>
        <w:spacing w:line="360" w:lineRule="auto"/>
        <w:jc w:val="both"/>
        <w:rPr>
          <w:rFonts w:ascii="David" w:hAnsi="David"/>
          <w:rtl/>
        </w:rPr>
      </w:pPr>
    </w:p>
    <w:p w:rsidR="007D5C4E" w:rsidRDefault="007D5C4E" w:rsidP="007D5C4E">
      <w:pPr>
        <w:spacing w:line="360" w:lineRule="auto"/>
        <w:ind w:left="720"/>
        <w:jc w:val="both"/>
        <w:rPr>
          <w:rFonts w:ascii="David" w:hAnsi="David"/>
          <w:rtl/>
        </w:rPr>
      </w:pPr>
      <w:r>
        <w:rPr>
          <w:rFonts w:ascii="David" w:hAnsi="David"/>
          <w:rtl/>
        </w:rPr>
        <w:t xml:space="preserve">ביום 18.4.24 הוגשה בקשה נוספת של המשיב בכתב יד. בקשה זו הוגשה בכתב יד באופן בלתי קריא והוריתי על הגשתה באופן קריא. המשיב לא עשה כן. </w:t>
      </w:r>
    </w:p>
    <w:p w:rsidR="007D5C4E" w:rsidRDefault="007D5C4E" w:rsidP="007D5C4E">
      <w:pPr>
        <w:spacing w:line="360" w:lineRule="auto"/>
        <w:ind w:left="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9.</w:t>
      </w:r>
      <w:r>
        <w:rPr>
          <w:rFonts w:ascii="David" w:hAnsi="David"/>
          <w:rtl/>
        </w:rPr>
        <w:tab/>
        <w:t>אין מחלוקת שלעת הזו הילדים עדיין שוהים אצל האב וטרם הושבו לבית האם בניגוד לכל החלטותיי. מצאתי להדגיש שבמענה לשאלתי בדיון מיום 7/5/24 בבקשה מושא החלטה זו ולאור טענת המבקשת שהילדים אינם פוקדים את בית הספר אם הילדים נכחו בתאריך 6.5.24 בבית הספר, ענה בא כוחו של המשיב בשלילה ותירץ זאת "...</w:t>
      </w:r>
      <w:r>
        <w:rPr>
          <w:rFonts w:ascii="David" w:hAnsi="David"/>
          <w:b/>
          <w:bCs/>
          <w:rtl/>
        </w:rPr>
        <w:t>הילד הגדול האבא אישר לו ללכת לכדורגל, יש לו משחק מחוץ ך לעיר והילד הקטן לא רצה לעזוב את אבא</w:t>
      </w:r>
      <w:r>
        <w:rPr>
          <w:rFonts w:ascii="David" w:hAnsi="David"/>
          <w:rtl/>
        </w:rPr>
        <w:t>" (פרוטוקול עמ' 3 ש' 7-6).</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10.</w:t>
      </w:r>
      <w:r>
        <w:rPr>
          <w:rFonts w:ascii="David" w:hAnsi="David"/>
          <w:rtl/>
        </w:rPr>
        <w:tab/>
        <w:t xml:space="preserve">בין לבין ביום 18.4.24, הגיש האב תביעה לאחריות הורית </w:t>
      </w:r>
      <w:r>
        <w:rPr>
          <w:rFonts w:ascii="David" w:hAnsi="David"/>
          <w:u w:val="single"/>
          <w:rtl/>
        </w:rPr>
        <w:t>(תלה"מ 44056-04-24</w:t>
      </w:r>
      <w:r>
        <w:rPr>
          <w:rFonts w:ascii="David" w:hAnsi="David"/>
          <w:rtl/>
        </w:rPr>
        <w:t>) בה עתר לקביעת אחריות הורית לשני הבנים וללא אחותם, בתם המשותפת הנוספת של הצדדים. במסגרת תביעתו הגיש האב בקשה ל"משמורת זמנית" וביום 5.5.24 הוזמן תסקיר עו"ס לסדרי דין.</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11.</w:t>
      </w:r>
      <w:r>
        <w:rPr>
          <w:rFonts w:ascii="David" w:hAnsi="David"/>
          <w:rtl/>
        </w:rPr>
        <w:tab/>
        <w:t>בשולי החלטה זו יאמר בדיון שהתקיים בבקשה זו העלה האב טענות קשות כנגד האם וטען שהאם "...</w:t>
      </w:r>
      <w:r>
        <w:rPr>
          <w:rFonts w:ascii="David" w:hAnsi="David"/>
          <w:b/>
          <w:bCs/>
          <w:rtl/>
        </w:rPr>
        <w:t>למעשה מתעללת בילדים התעללות נפשית</w:t>
      </w:r>
      <w:r>
        <w:rPr>
          <w:rFonts w:ascii="David" w:hAnsi="David"/>
          <w:rtl/>
        </w:rPr>
        <w:t>" (פרוטוקול עמ' 3 ש' 1) טענות אלו של  האב מפי בא כוחו מעוררות תהייה כפולה: האחת, שלא נעשתה כל פנייה לשירותי הרווחה טרם הגשת הבקשה לצו ההגנה על ידי המבקשת והשנייה שבתביעתו "למשמורת" ביקש משמורת רק על הבנים. האם סבור האב שיש להותיר את הבת בחזקתה של אם מתעללת?  אל לנו להרחיק במחשבתנו. התשובה השוללת טענות אלו עולה מדברי המשיב עצמו באותו דיון "</w:t>
      </w:r>
      <w:r>
        <w:rPr>
          <w:rFonts w:ascii="David" w:hAnsi="David"/>
          <w:b/>
          <w:bCs/>
          <w:rtl/>
        </w:rPr>
        <w:t>אני באמת רוצה שהם יהיו אצלה ויהיה להם גם אימא וגם אבא</w:t>
      </w:r>
      <w:r>
        <w:rPr>
          <w:rFonts w:ascii="David" w:hAnsi="David"/>
          <w:rtl/>
        </w:rPr>
        <w:t xml:space="preserve">." (פרוטוקול עמ' 4 ש' 2) יש לדחות דברי המשיב בהמשך המנסה להציג את האם כגורם המרחיק מעליה את הילדים. </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12.</w:t>
      </w:r>
      <w:r>
        <w:rPr>
          <w:rFonts w:ascii="David" w:hAnsi="David"/>
          <w:rtl/>
        </w:rPr>
        <w:tab/>
        <w:t>החלטות בית משפט יש למלא כלשונן וכל עוד הסדרי שהות לא שונו, יש, כאמור, לכבדם.</w:t>
      </w:r>
    </w:p>
    <w:p w:rsidR="007D5C4E" w:rsidRDefault="007D5C4E" w:rsidP="007D5C4E">
      <w:pPr>
        <w:spacing w:line="360" w:lineRule="auto"/>
        <w:ind w:left="720"/>
        <w:jc w:val="both"/>
        <w:rPr>
          <w:rFonts w:ascii="David" w:hAnsi="David"/>
          <w:rtl/>
        </w:rPr>
      </w:pPr>
      <w:r>
        <w:rPr>
          <w:rFonts w:ascii="David" w:hAnsi="David"/>
          <w:rtl/>
        </w:rPr>
        <w:t xml:space="preserve">אין לקבל מצב בו המשיב עשה ועושה דין לעצמו, הפר ומפר את החלטות בית משפט ובסופו של יום טופל את הנימוק להפרת ההחלטות ברצון הילדים. </w:t>
      </w:r>
    </w:p>
    <w:p w:rsidR="007D5C4E" w:rsidRDefault="007D5C4E" w:rsidP="007D5C4E">
      <w:pPr>
        <w:spacing w:line="360" w:lineRule="auto"/>
        <w:ind w:left="720"/>
        <w:jc w:val="both"/>
        <w:rPr>
          <w:rFonts w:ascii="David" w:hAnsi="David"/>
          <w:rtl/>
        </w:rPr>
      </w:pPr>
    </w:p>
    <w:p w:rsidR="007D5C4E" w:rsidRDefault="007D5C4E" w:rsidP="007D5C4E">
      <w:pPr>
        <w:spacing w:line="360" w:lineRule="auto"/>
        <w:ind w:left="720" w:hanging="720"/>
        <w:jc w:val="both"/>
        <w:rPr>
          <w:rFonts w:ascii="David" w:hAnsi="David"/>
          <w:rtl/>
        </w:rPr>
      </w:pPr>
      <w:r>
        <w:rPr>
          <w:rFonts w:ascii="David" w:hAnsi="David"/>
          <w:rtl/>
        </w:rPr>
        <w:t>13.</w:t>
      </w:r>
      <w:r>
        <w:rPr>
          <w:rFonts w:ascii="David" w:hAnsi="David"/>
          <w:rtl/>
        </w:rPr>
        <w:tab/>
        <w:t xml:space="preserve">לאחר ששקלתי בדבר אני שב ומורה על השבת הילדים </w:t>
      </w:r>
      <w:r>
        <w:rPr>
          <w:rFonts w:ascii="David" w:hAnsi="David"/>
          <w:b/>
          <w:bCs/>
          <w:u w:val="single"/>
          <w:rtl/>
        </w:rPr>
        <w:t>לאלתר</w:t>
      </w:r>
      <w:r>
        <w:rPr>
          <w:rFonts w:ascii="David" w:hAnsi="David"/>
          <w:rtl/>
        </w:rPr>
        <w:t xml:space="preserve"> לבית האם. לצורך ביצוע החלטה זו, האם רשאית לפנות לשירותי הרווחה בעיריית אילת ואלו רשאים להסתייע במשטרת ישראל לשלם העברת הילדים לביתה.</w:t>
      </w:r>
    </w:p>
    <w:p w:rsidR="007D5C4E" w:rsidRDefault="007D5C4E" w:rsidP="007D5C4E">
      <w:pPr>
        <w:spacing w:line="360" w:lineRule="auto"/>
        <w:ind w:left="720" w:hanging="720"/>
        <w:jc w:val="both"/>
        <w:rPr>
          <w:rFonts w:ascii="David" w:hAnsi="David"/>
          <w:rtl/>
        </w:rPr>
      </w:pPr>
    </w:p>
    <w:p w:rsidR="007D5C4E" w:rsidRDefault="007D5C4E" w:rsidP="007D5C4E">
      <w:pPr>
        <w:spacing w:line="360" w:lineRule="auto"/>
        <w:jc w:val="both"/>
        <w:rPr>
          <w:rFonts w:ascii="David" w:hAnsi="David"/>
          <w:rtl/>
        </w:rPr>
      </w:pPr>
      <w:r>
        <w:rPr>
          <w:rFonts w:ascii="David" w:hAnsi="David"/>
          <w:rtl/>
        </w:rPr>
        <w:t>14.</w:t>
      </w:r>
      <w:r>
        <w:rPr>
          <w:rFonts w:ascii="David" w:hAnsi="David"/>
          <w:rtl/>
        </w:rPr>
        <w:tab/>
        <w:t xml:space="preserve">המשיב יישא בהוצאות המבקשת בסך 2,500 ₪. </w:t>
      </w:r>
    </w:p>
    <w:p w:rsidR="007D5C4E" w:rsidRDefault="007D5C4E" w:rsidP="007D5C4E">
      <w:pPr>
        <w:spacing w:line="360" w:lineRule="auto"/>
        <w:jc w:val="both"/>
        <w:rPr>
          <w:rFonts w:ascii="David" w:hAnsi="David"/>
          <w:rtl/>
        </w:rPr>
      </w:pPr>
    </w:p>
    <w:p w:rsidR="007D5C4E" w:rsidRDefault="007D5C4E" w:rsidP="007D5C4E">
      <w:pPr>
        <w:spacing w:line="360" w:lineRule="auto"/>
        <w:jc w:val="both"/>
        <w:rPr>
          <w:rFonts w:ascii="David" w:hAnsi="David"/>
          <w:rtl/>
        </w:rPr>
      </w:pPr>
      <w:r>
        <w:rPr>
          <w:rFonts w:ascii="David" w:hAnsi="David"/>
          <w:rtl/>
        </w:rPr>
        <w:t>15.</w:t>
      </w:r>
      <w:r>
        <w:rPr>
          <w:rFonts w:ascii="David" w:hAnsi="David"/>
          <w:rtl/>
        </w:rPr>
        <w:tab/>
        <w:t>מתיר פרסום החלטה זו בהשמטת פרטים מזהים.</w:t>
      </w:r>
    </w:p>
    <w:p w:rsidR="007D5C4E" w:rsidRDefault="007D5C4E" w:rsidP="007D5C4E">
      <w:pPr>
        <w:spacing w:line="360" w:lineRule="auto"/>
        <w:jc w:val="both"/>
        <w:rPr>
          <w:rFonts w:ascii="David" w:hAnsi="David"/>
          <w:rtl/>
        </w:rPr>
      </w:pPr>
    </w:p>
    <w:p w:rsidR="007D5C4E" w:rsidRDefault="007D5C4E" w:rsidP="007D5C4E">
      <w:pPr>
        <w:spacing w:line="360" w:lineRule="auto"/>
        <w:jc w:val="both"/>
        <w:rPr>
          <w:rFonts w:ascii="David" w:hAnsi="David"/>
          <w:rtl/>
        </w:rPr>
      </w:pPr>
      <w:r>
        <w:rPr>
          <w:rFonts w:ascii="David" w:hAnsi="David"/>
          <w:rtl/>
        </w:rPr>
        <w:t>16.</w:t>
      </w:r>
      <w:r>
        <w:rPr>
          <w:rFonts w:ascii="David" w:hAnsi="David"/>
          <w:rtl/>
        </w:rPr>
        <w:tab/>
        <w:t>תואיל המזכירות ליידע הצדדים על החלטה זו בדחיפות.</w:t>
      </w:r>
    </w:p>
    <w:p w:rsidR="007D5C4E" w:rsidRDefault="007D5C4E" w:rsidP="007D5C4E">
      <w:pPr>
        <w:jc w:val="both"/>
        <w:rPr>
          <w:rFonts w:ascii="David" w:hAnsi="David"/>
          <w:rtl/>
        </w:rPr>
      </w:pPr>
    </w:p>
    <w:p w:rsidR="007D5C4E" w:rsidRDefault="007D5C4E" w:rsidP="007D5C4E">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א'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מאי 2024</w:t>
          </w:r>
        </w:sdtContent>
      </w:sdt>
      <w:r>
        <w:rPr>
          <w:rFonts w:ascii="Arial" w:hAnsi="Arial"/>
          <w:noProof w:val="0"/>
          <w:rtl/>
        </w:rPr>
        <w:t>, בהעדר הצדדים.</w:t>
      </w:r>
    </w:p>
    <w:p w:rsidR="007D5C4E" w:rsidRDefault="005C6506" w:rsidP="007D5C4E">
      <w:pPr>
        <w:tabs>
          <w:tab w:val="left" w:pos="2553"/>
        </w:tabs>
        <w:ind w:left="5040"/>
        <w:rPr>
          <w:rtl/>
        </w:rPr>
      </w:pPr>
      <w:sdt>
        <w:sdtPr>
          <w:rPr>
            <w:rtl/>
          </w:rPr>
          <w:alias w:val="2045"/>
          <w:tag w:val="2045"/>
          <w:id w:val="740689340"/>
          <w:placeholder>
            <w:docPart w:val="9FE1EBBB005C4EFBB9F8E67E56DABD88"/>
          </w:placeholder>
          <w:showingPlcHdr/>
          <w:text w:multiLine="1"/>
        </w:sdtPr>
        <w:sdtEndPr/>
        <w:sdtContent>
          <w:r w:rsidR="007D5C4E">
            <w:rPr>
              <w:rtl/>
            </w:rPr>
            <w:t xml:space="preserve">     </w:t>
          </w:r>
        </w:sdtContent>
      </w:sdt>
    </w:p>
    <w:p w:rsidR="007D5C4E" w:rsidRDefault="007D5C4E" w:rsidP="007D5C4E">
      <w:pPr>
        <w:tabs>
          <w:tab w:val="left" w:pos="2553"/>
        </w:tabs>
        <w:rPr>
          <w:rtl/>
        </w:rPr>
      </w:pPr>
      <w:r>
        <w:rPr>
          <w:rtl/>
        </w:rPr>
        <w:tab/>
      </w:r>
      <w:r>
        <w:rPr>
          <w:rtl/>
        </w:rPr>
        <w:tab/>
      </w:r>
      <w:r>
        <w:rPr>
          <w:rtl/>
        </w:rPr>
        <w:tab/>
      </w:r>
      <w:r>
        <w:rPr>
          <w:rtl/>
        </w:rPr>
        <w:tab/>
        <w:t xml:space="preserve">        </w:t>
      </w:r>
      <w:sdt>
        <w:sdtPr>
          <w:rPr>
            <w:rtl/>
          </w:rPr>
          <w:alias w:val="MergeField"/>
          <w:tag w:val="1237"/>
          <w:id w:val="-1365047119"/>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7D5C4E" w:rsidRDefault="007D5C4E" w:rsidP="007D5C4E">
      <w:pPr>
        <w:tabs>
          <w:tab w:val="left" w:pos="2553"/>
        </w:tabs>
        <w:rPr>
          <w:rFonts w:ascii="Arial" w:hAnsi="Arial"/>
          <w:noProof w:val="0"/>
        </w:rPr>
      </w:pPr>
    </w:p>
    <w:p w:rsidR="007D5C4E" w:rsidRDefault="007D5C4E"/>
    <w:p w:rsidR="007D5C4E" w:rsidRPr="007D5C4E" w:rsidRDefault="007D5C4E" w:rsidP="007D5C4E"/>
    <w:p w:rsidR="007D5C4E" w:rsidRPr="007D5C4E" w:rsidRDefault="007D5C4E" w:rsidP="007D5C4E"/>
    <w:p w:rsidR="007D5C4E" w:rsidRPr="007D5C4E" w:rsidRDefault="007D5C4E" w:rsidP="007D5C4E"/>
    <w:p w:rsidR="007D5C4E" w:rsidRDefault="007D5C4E" w:rsidP="007D5C4E"/>
    <w:p w:rsidR="007D5C4E" w:rsidRDefault="007D5C4E" w:rsidP="007D5C4E"/>
    <w:p w:rsidR="00512360" w:rsidRPr="007D5C4E" w:rsidRDefault="007D5C4E" w:rsidP="00243235">
      <w:pPr>
        <w:tabs>
          <w:tab w:val="left" w:pos="1391"/>
        </w:tabs>
      </w:pPr>
      <w:r>
        <w:rPr>
          <w:rtl/>
        </w:rPr>
        <w:tab/>
      </w:r>
    </w:p>
    <w:sectPr w:rsidR="00512360" w:rsidRPr="007D5C4E"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C4E"/>
    <w:rsid w:val="00243235"/>
    <w:rsid w:val="00512360"/>
    <w:rsid w:val="005C6506"/>
    <w:rsid w:val="007D5C4E"/>
    <w:rsid w:val="00985049"/>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29C876-DC16-48A8-97AC-3A0380C3C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C4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7D5C4E"/>
    <w:pPr>
      <w:tabs>
        <w:tab w:val="center" w:pos="4153"/>
        <w:tab w:val="right" w:pos="8306"/>
      </w:tabs>
    </w:pPr>
  </w:style>
  <w:style w:type="character" w:customStyle="1" w:styleId="a4">
    <w:name w:val="כותרת עליונה תו"/>
    <w:basedOn w:val="a0"/>
    <w:link w:val="a3"/>
    <w:semiHidden/>
    <w:rsid w:val="007D5C4E"/>
    <w:rPr>
      <w:rFonts w:ascii="Times New Roman" w:eastAsia="Times New Roman" w:hAnsi="Times New Roman" w:cs="David"/>
      <w:noProof/>
      <w:sz w:val="24"/>
      <w:szCs w:val="24"/>
    </w:rPr>
  </w:style>
  <w:style w:type="paragraph" w:styleId="NormalWeb">
    <w:name w:val="Normal (Web)"/>
    <w:basedOn w:val="a"/>
    <w:uiPriority w:val="99"/>
    <w:semiHidden/>
    <w:unhideWhenUsed/>
    <w:rsid w:val="007D5C4E"/>
    <w:pPr>
      <w:bidi w:val="0"/>
      <w:spacing w:before="100" w:beforeAutospacing="1" w:after="100" w:afterAutospacing="1"/>
    </w:pPr>
    <w:rPr>
      <w:rFonts w:eastAsiaTheme="minorEastAsia" w:cs="Times New Roman"/>
      <w:noProof w:val="0"/>
    </w:rPr>
  </w:style>
  <w:style w:type="table" w:styleId="a5">
    <w:name w:val="Table Grid"/>
    <w:basedOn w:val="a1"/>
    <w:rsid w:val="007D5C4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047018">
      <w:bodyDiv w:val="1"/>
      <w:marLeft w:val="0"/>
      <w:marRight w:val="0"/>
      <w:marTop w:val="0"/>
      <w:marBottom w:val="0"/>
      <w:divBdr>
        <w:top w:val="none" w:sz="0" w:space="0" w:color="auto"/>
        <w:left w:val="none" w:sz="0" w:space="0" w:color="auto"/>
        <w:bottom w:val="none" w:sz="0" w:space="0" w:color="auto"/>
        <w:right w:val="none" w:sz="0" w:space="0" w:color="auto"/>
      </w:divBdr>
    </w:div>
    <w:div w:id="201302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E1EBBB005C4EFBB9F8E67E56DABD88"/>
        <w:category>
          <w:name w:val="כללי"/>
          <w:gallery w:val="placeholder"/>
        </w:category>
        <w:types>
          <w:type w:val="bbPlcHdr"/>
        </w:types>
        <w:behaviors>
          <w:behavior w:val="content"/>
        </w:behaviors>
        <w:guid w:val="{5A8CB302-5614-4F21-B75D-1233121A97F1}"/>
      </w:docPartPr>
      <w:docPartBody>
        <w:p w:rsidR="00B15635" w:rsidRDefault="007B6D75" w:rsidP="007B6D75">
          <w:pPr>
            <w:pStyle w:val="9FE1EBBB005C4EFBB9F8E67E56DABD88"/>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D75"/>
    <w:rsid w:val="00351007"/>
    <w:rsid w:val="003B3110"/>
    <w:rsid w:val="007B6D75"/>
    <w:rsid w:val="00B15635"/>
    <w:rsid w:val="00FC046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E1EBBB005C4EFBB9F8E67E56DABD88">
    <w:name w:val="9FE1EBBB005C4EFBB9F8E67E56DABD88"/>
    <w:rsid w:val="007B6D7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5456</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2024-09-03T05:51:00Z</dcterms:created>
  <dcterms:modified xsi:type="dcterms:W3CDTF">2024-09-03T05:51:00Z</dcterms:modified>
</cp:coreProperties>
</file>